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24B1A" w14:textId="32249418" w:rsidR="001040B0" w:rsidRDefault="001040B0" w:rsidP="00C62167">
      <w:pPr>
        <w:framePr w:wrap="auto" w:vAnchor="margin" w:yAlign="inline"/>
        <w:rPr>
          <w:lang w:val="en-GB"/>
        </w:rPr>
      </w:pPr>
      <w:bookmarkStart w:id="0" w:name="_GoBack"/>
      <w:bookmarkEnd w:id="0"/>
    </w:p>
    <w:tbl>
      <w:tblPr>
        <w:tblStyle w:val="Grilledutableau"/>
        <w:tblpPr w:leftFromText="141" w:rightFromText="141" w:vertAnchor="text" w:horzAnchor="margin" w:tblpXSpec="center" w:tblpY="898"/>
        <w:tblOverlap w:val="never"/>
        <w:tblW w:w="10490"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ayout w:type="fixed"/>
        <w:tblCellMar>
          <w:top w:w="28" w:type="dxa"/>
          <w:bottom w:w="28" w:type="dxa"/>
        </w:tblCellMar>
        <w:tblLook w:val="04A0" w:firstRow="1" w:lastRow="0" w:firstColumn="1" w:lastColumn="0" w:noHBand="0" w:noVBand="1"/>
      </w:tblPr>
      <w:tblGrid>
        <w:gridCol w:w="8613"/>
        <w:gridCol w:w="1877"/>
      </w:tblGrid>
      <w:tr w:rsidR="00A70D2D" w:rsidRPr="00A70D2D" w14:paraId="62C6EBE5" w14:textId="77777777" w:rsidTr="00A70D2D">
        <w:trPr>
          <w:trHeight w:val="528"/>
        </w:trPr>
        <w:tc>
          <w:tcPr>
            <w:tcW w:w="10490" w:type="dxa"/>
            <w:gridSpan w:val="2"/>
            <w:shd w:val="clear" w:color="auto" w:fill="ED7D31" w:themeFill="accent2"/>
          </w:tcPr>
          <w:p w14:paraId="65615A02" w14:textId="77777777" w:rsidR="00A70D2D" w:rsidRPr="002F46DE" w:rsidRDefault="00A70D2D" w:rsidP="00A70D2D">
            <w:pPr>
              <w:framePr w:wrap="auto" w:vAnchor="margin" w:yAlign="inline"/>
              <w:spacing w:before="60" w:after="60" w:line="360" w:lineRule="auto"/>
              <w:rPr>
                <w:rFonts w:ascii="Century Gothic" w:hAnsi="Century Gothic"/>
                <w:b/>
                <w:bCs/>
                <w:color w:val="DEEAF6" w:themeColor="accent5" w:themeTint="33"/>
                <w:sz w:val="28"/>
                <w:szCs w:val="26"/>
                <w:lang w:val="en-GB"/>
              </w:rPr>
            </w:pPr>
            <w:r w:rsidRPr="002F46DE">
              <w:rPr>
                <w:rFonts w:ascii="Century Gothic" w:eastAsia="Times New Roman" w:hAnsi="Century Gothic"/>
                <w:b/>
                <w:bCs/>
                <w:color w:val="DEEAF6"/>
                <w:sz w:val="20"/>
                <w:szCs w:val="18"/>
                <w:lang w:val="en-GB"/>
              </w:rPr>
              <w:t>Tool 2 – Checklist: Funders Map Procedures</w:t>
            </w:r>
            <w:r w:rsidRPr="002F46DE">
              <w:rPr>
                <w:rFonts w:ascii="Century Gothic" w:hAnsi="Century Gothic"/>
                <w:b/>
                <w:bCs/>
                <w:szCs w:val="26"/>
                <w:lang w:val="en-GB"/>
              </w:rPr>
              <w:t xml:space="preserve"> </w:t>
            </w:r>
          </w:p>
        </w:tc>
      </w:tr>
      <w:tr w:rsidR="00A70D2D" w:rsidRPr="002F46DE" w14:paraId="3DFD5B83" w14:textId="77777777" w:rsidTr="00A70D2D">
        <w:trPr>
          <w:trHeight w:val="135"/>
        </w:trPr>
        <w:tc>
          <w:tcPr>
            <w:tcW w:w="10490" w:type="dxa"/>
            <w:gridSpan w:val="2"/>
            <w:shd w:val="clear" w:color="auto" w:fill="F7CAAC" w:themeFill="accent2" w:themeFillTint="66"/>
            <w:vAlign w:val="center"/>
          </w:tcPr>
          <w:p w14:paraId="0454A2FC" w14:textId="77777777" w:rsidR="00A70D2D" w:rsidRPr="002F46DE" w:rsidRDefault="00A70D2D" w:rsidP="00A70D2D">
            <w:pPr>
              <w:framePr w:wrap="auto" w:vAnchor="margin" w:yAlign="inline"/>
              <w:spacing w:before="60" w:after="60"/>
              <w:rPr>
                <w:rFonts w:ascii="Century Gothic" w:hAnsi="Century Gothic"/>
                <w:b/>
                <w:bCs/>
              </w:rPr>
            </w:pPr>
            <w:r w:rsidRPr="002F46DE">
              <w:rPr>
                <w:rFonts w:ascii="Century Gothic" w:eastAsia="Times New Roman" w:hAnsi="Century Gothic"/>
                <w:b/>
                <w:bCs/>
                <w:color w:val="C55A11"/>
                <w:sz w:val="20"/>
                <w:szCs w:val="18"/>
                <w:lang w:val="en-GB"/>
              </w:rPr>
              <w:t xml:space="preserve">Monitoring Procedures </w:t>
            </w:r>
          </w:p>
        </w:tc>
      </w:tr>
      <w:tr w:rsidR="00A70D2D" w:rsidRPr="00A70D2D" w14:paraId="511A5D1B" w14:textId="77777777" w:rsidTr="00A70D2D">
        <w:trPr>
          <w:trHeight w:val="103"/>
        </w:trPr>
        <w:tc>
          <w:tcPr>
            <w:tcW w:w="8613" w:type="dxa"/>
            <w:shd w:val="clear" w:color="auto" w:fill="auto"/>
            <w:vAlign w:val="bottom"/>
          </w:tcPr>
          <w:p w14:paraId="3BAC92BF"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1. Appoint one member of staff to monitor key sources of information; check relevant websites of the Funders Map.</w:t>
            </w:r>
          </w:p>
        </w:tc>
        <w:tc>
          <w:tcPr>
            <w:tcW w:w="1877" w:type="dxa"/>
            <w:shd w:val="clear" w:color="auto" w:fill="auto"/>
          </w:tcPr>
          <w:p w14:paraId="66868147"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A70D2D" w14:paraId="3ADBE79B" w14:textId="77777777" w:rsidTr="00A70D2D">
        <w:trPr>
          <w:trHeight w:val="105"/>
        </w:trPr>
        <w:tc>
          <w:tcPr>
            <w:tcW w:w="8613" w:type="dxa"/>
            <w:shd w:val="clear" w:color="auto" w:fill="auto"/>
            <w:vAlign w:val="bottom"/>
          </w:tcPr>
          <w:p w14:paraId="7B72A641"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2. Appoint at least one deputy for the task of monitoring the Funders Map in case of illness or holiday absences.</w:t>
            </w:r>
          </w:p>
        </w:tc>
        <w:tc>
          <w:tcPr>
            <w:tcW w:w="1877" w:type="dxa"/>
            <w:shd w:val="clear" w:color="auto" w:fill="auto"/>
          </w:tcPr>
          <w:p w14:paraId="7860F675"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A70D2D" w14:paraId="01BF5177" w14:textId="77777777" w:rsidTr="00A70D2D">
        <w:trPr>
          <w:trHeight w:val="103"/>
        </w:trPr>
        <w:tc>
          <w:tcPr>
            <w:tcW w:w="8613" w:type="dxa"/>
            <w:shd w:val="clear" w:color="auto" w:fill="auto"/>
            <w:vAlign w:val="bottom"/>
          </w:tcPr>
          <w:p w14:paraId="2150FDF3"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3. Decide how frequently the information sources and funders' websites will be checked/monitored (weekly/ every second week)</w:t>
            </w:r>
          </w:p>
        </w:tc>
        <w:tc>
          <w:tcPr>
            <w:tcW w:w="1877" w:type="dxa"/>
            <w:shd w:val="clear" w:color="auto" w:fill="auto"/>
          </w:tcPr>
          <w:p w14:paraId="3B2B288C"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A70D2D" w14:paraId="3C27FBAF" w14:textId="77777777" w:rsidTr="00A70D2D">
        <w:trPr>
          <w:trHeight w:val="103"/>
        </w:trPr>
        <w:tc>
          <w:tcPr>
            <w:tcW w:w="8613" w:type="dxa"/>
            <w:shd w:val="clear" w:color="auto" w:fill="auto"/>
            <w:vAlign w:val="bottom"/>
          </w:tcPr>
          <w:p w14:paraId="23A4E41A"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4. The appointed members of staff need to be given authority to up-date and change the Funders Map in line with new findings.</w:t>
            </w:r>
          </w:p>
        </w:tc>
        <w:tc>
          <w:tcPr>
            <w:tcW w:w="1877" w:type="dxa"/>
            <w:shd w:val="clear" w:color="auto" w:fill="auto"/>
          </w:tcPr>
          <w:p w14:paraId="07CF70D3"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A70D2D" w14:paraId="762F1CCE" w14:textId="77777777" w:rsidTr="00A70D2D">
        <w:trPr>
          <w:trHeight w:val="153"/>
        </w:trPr>
        <w:tc>
          <w:tcPr>
            <w:tcW w:w="8613" w:type="dxa"/>
            <w:shd w:val="clear" w:color="auto" w:fill="auto"/>
            <w:vAlign w:val="bottom"/>
          </w:tcPr>
          <w:p w14:paraId="64EF48C8"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5. Ensure that crucial information such as passwords to funders' websites and information sources cannot be changed by other members of staff and that any change of passwords is always noted and changed by the appointed member of staff in charge of the Funders Map.</w:t>
            </w:r>
          </w:p>
        </w:tc>
        <w:tc>
          <w:tcPr>
            <w:tcW w:w="1877" w:type="dxa"/>
            <w:shd w:val="clear" w:color="auto" w:fill="auto"/>
          </w:tcPr>
          <w:p w14:paraId="4AC80330"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A70D2D" w14:paraId="1BA5600F" w14:textId="77777777" w:rsidTr="00A70D2D">
        <w:trPr>
          <w:trHeight w:val="105"/>
        </w:trPr>
        <w:tc>
          <w:tcPr>
            <w:tcW w:w="8613" w:type="dxa"/>
            <w:shd w:val="clear" w:color="auto" w:fill="auto"/>
            <w:vAlign w:val="bottom"/>
          </w:tcPr>
          <w:p w14:paraId="0870F8E9"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6. Incorporate an appraisal procedure of this task to minimise the risk of missing or informing too late about funding opportunities.</w:t>
            </w:r>
          </w:p>
        </w:tc>
        <w:tc>
          <w:tcPr>
            <w:tcW w:w="1877" w:type="dxa"/>
            <w:shd w:val="clear" w:color="auto" w:fill="auto"/>
          </w:tcPr>
          <w:p w14:paraId="7109AFAC"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2F46DE" w14:paraId="159010C5" w14:textId="77777777" w:rsidTr="00A70D2D">
        <w:trPr>
          <w:trHeight w:val="105"/>
        </w:trPr>
        <w:tc>
          <w:tcPr>
            <w:tcW w:w="10490" w:type="dxa"/>
            <w:gridSpan w:val="2"/>
            <w:shd w:val="clear" w:color="auto" w:fill="F7CAAC" w:themeFill="accent2" w:themeFillTint="66"/>
            <w:vAlign w:val="center"/>
          </w:tcPr>
          <w:p w14:paraId="3262DB9E" w14:textId="77777777" w:rsidR="00A70D2D" w:rsidRPr="002F46DE" w:rsidRDefault="00A70D2D" w:rsidP="00A70D2D">
            <w:pPr>
              <w:framePr w:wrap="auto" w:vAnchor="margin" w:yAlign="inline"/>
              <w:spacing w:before="60" w:after="60"/>
              <w:rPr>
                <w:rFonts w:ascii="Century Gothic" w:eastAsia="Times New Roman" w:hAnsi="Century Gothic"/>
                <w:b/>
                <w:bCs/>
                <w:color w:val="C55A11"/>
                <w:sz w:val="20"/>
                <w:szCs w:val="18"/>
                <w:lang w:val="en-GB"/>
              </w:rPr>
            </w:pPr>
            <w:r w:rsidRPr="002F46DE">
              <w:rPr>
                <w:rFonts w:ascii="Century Gothic" w:eastAsia="Times New Roman" w:hAnsi="Century Gothic"/>
                <w:b/>
                <w:bCs/>
                <w:color w:val="C55A11"/>
                <w:sz w:val="20"/>
                <w:szCs w:val="18"/>
                <w:lang w:val="en-GB"/>
              </w:rPr>
              <w:t xml:space="preserve">Communication Procedures </w:t>
            </w:r>
          </w:p>
        </w:tc>
      </w:tr>
      <w:tr w:rsidR="00A70D2D" w:rsidRPr="00A70D2D" w14:paraId="12E173FE" w14:textId="77777777" w:rsidTr="00A70D2D">
        <w:trPr>
          <w:trHeight w:val="103"/>
        </w:trPr>
        <w:tc>
          <w:tcPr>
            <w:tcW w:w="8613" w:type="dxa"/>
            <w:shd w:val="clear" w:color="auto" w:fill="auto"/>
            <w:vAlign w:val="bottom"/>
          </w:tcPr>
          <w:p w14:paraId="52E01D46"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7. Provide a clear line of action if and when a funding opportunity has been identified: who will be reported to and how?</w:t>
            </w:r>
          </w:p>
        </w:tc>
        <w:tc>
          <w:tcPr>
            <w:tcW w:w="1877" w:type="dxa"/>
            <w:shd w:val="clear" w:color="auto" w:fill="auto"/>
          </w:tcPr>
          <w:p w14:paraId="7ACFD9BF"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A70D2D" w14:paraId="580362F7" w14:textId="77777777" w:rsidTr="00A70D2D">
        <w:trPr>
          <w:trHeight w:val="155"/>
        </w:trPr>
        <w:tc>
          <w:tcPr>
            <w:tcW w:w="8613" w:type="dxa"/>
            <w:shd w:val="clear" w:color="auto" w:fill="auto"/>
            <w:vAlign w:val="bottom"/>
          </w:tcPr>
          <w:p w14:paraId="6E2B97A2"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 xml:space="preserve">8. Decide how often verbal up-dates will be provided to the Funding Team, the Action Plan team and the ULG members, Action Plan partners and stakeholders about the results of the monitoring of </w:t>
            </w:r>
            <w:proofErr w:type="spellStart"/>
            <w:r w:rsidRPr="002F46DE">
              <w:rPr>
                <w:rFonts w:ascii="Century Gothic" w:eastAsia="Times New Roman" w:hAnsi="Century Gothic"/>
                <w:color w:val="000000"/>
                <w:sz w:val="18"/>
                <w:szCs w:val="18"/>
                <w:lang w:val="en-GB"/>
              </w:rPr>
              <w:t>fundingources</w:t>
            </w:r>
            <w:proofErr w:type="spellEnd"/>
            <w:r w:rsidRPr="002F46DE">
              <w:rPr>
                <w:rFonts w:ascii="Century Gothic" w:eastAsia="Times New Roman" w:hAnsi="Century Gothic"/>
                <w:color w:val="000000"/>
                <w:sz w:val="18"/>
                <w:szCs w:val="18"/>
                <w:lang w:val="en-GB"/>
              </w:rPr>
              <w:t xml:space="preserve"> and new developments.</w:t>
            </w:r>
          </w:p>
        </w:tc>
        <w:tc>
          <w:tcPr>
            <w:tcW w:w="1877" w:type="dxa"/>
            <w:shd w:val="clear" w:color="auto" w:fill="auto"/>
          </w:tcPr>
          <w:p w14:paraId="1965232E"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A70D2D" w14:paraId="0F5DFD12" w14:textId="77777777" w:rsidTr="00A70D2D">
        <w:trPr>
          <w:trHeight w:val="103"/>
        </w:trPr>
        <w:tc>
          <w:tcPr>
            <w:tcW w:w="8613" w:type="dxa"/>
            <w:shd w:val="clear" w:color="auto" w:fill="auto"/>
            <w:vAlign w:val="bottom"/>
          </w:tcPr>
          <w:p w14:paraId="14F893F8"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9. Ensure that 'Potential Funding Opportunities - Feedback and Gathering of new Intelligence' is a permanent agenda item of Funding team, ULG and Action Plan team meetings.</w:t>
            </w:r>
          </w:p>
        </w:tc>
        <w:tc>
          <w:tcPr>
            <w:tcW w:w="1877" w:type="dxa"/>
            <w:shd w:val="clear" w:color="auto" w:fill="auto"/>
          </w:tcPr>
          <w:p w14:paraId="1F515CB3"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A70D2D" w14:paraId="45D2ECB6" w14:textId="77777777" w:rsidTr="00A70D2D">
        <w:trPr>
          <w:trHeight w:val="103"/>
        </w:trPr>
        <w:tc>
          <w:tcPr>
            <w:tcW w:w="8613" w:type="dxa"/>
            <w:shd w:val="clear" w:color="auto" w:fill="auto"/>
            <w:vAlign w:val="bottom"/>
          </w:tcPr>
          <w:p w14:paraId="23C25E4D"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10. Ensure that ideas about funding alternatives or new forms of funding that are brought forward by members of staff or other partners are followed up and investigated appropriately.</w:t>
            </w:r>
          </w:p>
        </w:tc>
        <w:tc>
          <w:tcPr>
            <w:tcW w:w="1877" w:type="dxa"/>
            <w:shd w:val="clear" w:color="auto" w:fill="auto"/>
          </w:tcPr>
          <w:p w14:paraId="72A883BD"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A70D2D" w14:paraId="02C1C684" w14:textId="77777777" w:rsidTr="00A70D2D">
        <w:trPr>
          <w:trHeight w:val="155"/>
        </w:trPr>
        <w:tc>
          <w:tcPr>
            <w:tcW w:w="8613" w:type="dxa"/>
            <w:shd w:val="clear" w:color="auto" w:fill="auto"/>
            <w:vAlign w:val="bottom"/>
          </w:tcPr>
          <w:p w14:paraId="47CFD01E"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11. Design a procedure that ensures that communication about new funding developments is a two way process (between junior and senior staff; between project teams and funding teams).</w:t>
            </w:r>
          </w:p>
        </w:tc>
        <w:tc>
          <w:tcPr>
            <w:tcW w:w="1877" w:type="dxa"/>
            <w:shd w:val="clear" w:color="auto" w:fill="auto"/>
          </w:tcPr>
          <w:p w14:paraId="0A6FEC1D"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2F46DE" w14:paraId="3C61886B" w14:textId="77777777" w:rsidTr="00A70D2D">
        <w:trPr>
          <w:trHeight w:val="105"/>
        </w:trPr>
        <w:tc>
          <w:tcPr>
            <w:tcW w:w="10490" w:type="dxa"/>
            <w:gridSpan w:val="2"/>
            <w:shd w:val="clear" w:color="auto" w:fill="F7CAAC" w:themeFill="accent2" w:themeFillTint="66"/>
            <w:vAlign w:val="center"/>
          </w:tcPr>
          <w:p w14:paraId="5EE96F59" w14:textId="77777777" w:rsidR="00A70D2D" w:rsidRPr="002F46DE" w:rsidRDefault="00A70D2D" w:rsidP="00A70D2D">
            <w:pPr>
              <w:framePr w:wrap="auto" w:vAnchor="margin" w:yAlign="inline"/>
              <w:spacing w:before="60" w:after="60"/>
              <w:rPr>
                <w:rFonts w:ascii="Century Gothic" w:eastAsia="Times New Roman" w:hAnsi="Century Gothic"/>
                <w:b/>
                <w:bCs/>
                <w:color w:val="C55A11"/>
                <w:sz w:val="20"/>
                <w:szCs w:val="18"/>
                <w:lang w:val="en-GB"/>
              </w:rPr>
            </w:pPr>
            <w:r w:rsidRPr="002F46DE">
              <w:rPr>
                <w:rFonts w:ascii="Century Gothic" w:eastAsia="Times New Roman" w:hAnsi="Century Gothic"/>
                <w:b/>
                <w:bCs/>
                <w:color w:val="C55A11"/>
                <w:sz w:val="20"/>
                <w:szCs w:val="18"/>
                <w:lang w:val="en-GB"/>
              </w:rPr>
              <w:t>Learning Procedures</w:t>
            </w:r>
          </w:p>
        </w:tc>
      </w:tr>
      <w:tr w:rsidR="00A70D2D" w:rsidRPr="00A70D2D" w14:paraId="05221617" w14:textId="77777777" w:rsidTr="00A70D2D">
        <w:trPr>
          <w:trHeight w:val="155"/>
        </w:trPr>
        <w:tc>
          <w:tcPr>
            <w:tcW w:w="8613" w:type="dxa"/>
            <w:shd w:val="clear" w:color="auto" w:fill="auto"/>
            <w:vAlign w:val="bottom"/>
          </w:tcPr>
          <w:p w14:paraId="04BB4E9C"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12. Ensure that staff responsible for monitoring has resources allocated to attend information and training events from relevant funders, including awareness raising events about new sources or ways of funding</w:t>
            </w:r>
          </w:p>
        </w:tc>
        <w:tc>
          <w:tcPr>
            <w:tcW w:w="1877" w:type="dxa"/>
            <w:shd w:val="clear" w:color="auto" w:fill="auto"/>
          </w:tcPr>
          <w:p w14:paraId="20C37311" w14:textId="77777777" w:rsidR="00A70D2D" w:rsidRPr="00A70D2D" w:rsidRDefault="00A70D2D" w:rsidP="00A70D2D">
            <w:pPr>
              <w:framePr w:wrap="auto" w:vAnchor="margin" w:yAlign="inline"/>
              <w:spacing w:before="60" w:after="60"/>
              <w:rPr>
                <w:rFonts w:ascii="Century Gothic" w:hAnsi="Century Gothic"/>
                <w:lang w:val="en-GB"/>
              </w:rPr>
            </w:pPr>
          </w:p>
        </w:tc>
      </w:tr>
      <w:tr w:rsidR="00A70D2D" w:rsidRPr="00F21BA8" w14:paraId="7C175EA1" w14:textId="77777777" w:rsidTr="00A70D2D">
        <w:trPr>
          <w:trHeight w:val="103"/>
        </w:trPr>
        <w:tc>
          <w:tcPr>
            <w:tcW w:w="8613" w:type="dxa"/>
            <w:shd w:val="clear" w:color="auto" w:fill="auto"/>
            <w:vAlign w:val="bottom"/>
          </w:tcPr>
          <w:p w14:paraId="07B62BB4"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13</w:t>
            </w:r>
            <w:proofErr w:type="gramStart"/>
            <w:r w:rsidRPr="002F46DE">
              <w:rPr>
                <w:rFonts w:ascii="Century Gothic" w:eastAsia="Times New Roman" w:hAnsi="Century Gothic"/>
                <w:color w:val="000000"/>
                <w:sz w:val="18"/>
                <w:szCs w:val="18"/>
                <w:lang w:val="en-GB"/>
              </w:rPr>
              <w:t>.Ensure</w:t>
            </w:r>
            <w:proofErr w:type="gramEnd"/>
            <w:r w:rsidRPr="002F46DE">
              <w:rPr>
                <w:rFonts w:ascii="Century Gothic" w:eastAsia="Times New Roman" w:hAnsi="Century Gothic"/>
                <w:color w:val="000000"/>
                <w:sz w:val="18"/>
                <w:szCs w:val="18"/>
                <w:lang w:val="en-GB"/>
              </w:rPr>
              <w:t xml:space="preserve"> that the weekly/bi-weekly check of sources of information and Funders' websites includes a scan of relevant information and training events.</w:t>
            </w:r>
          </w:p>
        </w:tc>
        <w:tc>
          <w:tcPr>
            <w:tcW w:w="1877" w:type="dxa"/>
            <w:shd w:val="clear" w:color="auto" w:fill="auto"/>
          </w:tcPr>
          <w:p w14:paraId="72B74678" w14:textId="77777777" w:rsidR="00A70D2D" w:rsidRPr="00F21BA8" w:rsidRDefault="00A70D2D" w:rsidP="00A70D2D">
            <w:pPr>
              <w:framePr w:wrap="auto" w:vAnchor="margin" w:yAlign="inline"/>
              <w:spacing w:before="60" w:after="60"/>
              <w:rPr>
                <w:rFonts w:ascii="Century Gothic" w:hAnsi="Century Gothic"/>
                <w:lang w:val="en-GB"/>
              </w:rPr>
            </w:pPr>
          </w:p>
        </w:tc>
      </w:tr>
      <w:tr w:rsidR="00A70D2D" w:rsidRPr="00F21BA8" w14:paraId="4192B206" w14:textId="77777777" w:rsidTr="00A70D2D">
        <w:trPr>
          <w:trHeight w:val="105"/>
        </w:trPr>
        <w:tc>
          <w:tcPr>
            <w:tcW w:w="8613" w:type="dxa"/>
            <w:shd w:val="clear" w:color="auto" w:fill="auto"/>
            <w:vAlign w:val="bottom"/>
          </w:tcPr>
          <w:p w14:paraId="27963C34" w14:textId="77777777" w:rsidR="00A70D2D" w:rsidRPr="002F46DE" w:rsidRDefault="00A70D2D" w:rsidP="00A70D2D">
            <w:pPr>
              <w:framePr w:wrap="auto" w:vAnchor="margin" w:yAlign="inline"/>
              <w:spacing w:before="60" w:after="60"/>
              <w:rPr>
                <w:rFonts w:ascii="Century Gothic" w:eastAsia="Times New Roman" w:hAnsi="Century Gothic"/>
                <w:color w:val="000000"/>
                <w:sz w:val="18"/>
                <w:szCs w:val="18"/>
                <w:lang w:val="en-GB"/>
              </w:rPr>
            </w:pPr>
            <w:r w:rsidRPr="002F46DE">
              <w:rPr>
                <w:rFonts w:ascii="Century Gothic" w:eastAsia="Times New Roman" w:hAnsi="Century Gothic"/>
                <w:color w:val="000000"/>
                <w:sz w:val="18"/>
                <w:szCs w:val="18"/>
                <w:lang w:val="en-GB"/>
              </w:rPr>
              <w:t>14. Provide for a mechanism where new learning from attending information and training events is shared with relevant members of staff, the Action Plan team and the ULG members.</w:t>
            </w:r>
          </w:p>
        </w:tc>
        <w:tc>
          <w:tcPr>
            <w:tcW w:w="1877" w:type="dxa"/>
            <w:shd w:val="clear" w:color="auto" w:fill="auto"/>
          </w:tcPr>
          <w:p w14:paraId="49905827" w14:textId="77777777" w:rsidR="00A70D2D" w:rsidRPr="00F21BA8" w:rsidRDefault="00A70D2D" w:rsidP="00A70D2D">
            <w:pPr>
              <w:framePr w:wrap="auto" w:vAnchor="margin" w:yAlign="inline"/>
              <w:spacing w:before="60" w:after="60"/>
              <w:rPr>
                <w:rFonts w:ascii="Century Gothic" w:hAnsi="Century Gothic"/>
                <w:lang w:val="en-GB"/>
              </w:rPr>
            </w:pPr>
          </w:p>
        </w:tc>
      </w:tr>
    </w:tbl>
    <w:p w14:paraId="72453DD0" w14:textId="77777777" w:rsidR="00A70D2D" w:rsidRPr="00A70D2D" w:rsidRDefault="00A70D2D" w:rsidP="00C62167">
      <w:pPr>
        <w:framePr w:wrap="auto" w:vAnchor="margin" w:yAlign="inline"/>
        <w:rPr>
          <w:lang w:val="en-GB"/>
        </w:rPr>
      </w:pPr>
    </w:p>
    <w:sectPr w:rsidR="00A70D2D" w:rsidRPr="00A70D2D" w:rsidSect="00A70D2D">
      <w:headerReference w:type="default" r:id="rId8"/>
      <w:pgSz w:w="11906" w:h="16838"/>
      <w:pgMar w:top="1702"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E6EA8" w14:textId="77777777" w:rsidR="002549B0" w:rsidRDefault="002549B0" w:rsidP="001505BB">
      <w:pPr>
        <w:framePr w:wrap="around"/>
      </w:pPr>
      <w:r>
        <w:separator/>
      </w:r>
    </w:p>
  </w:endnote>
  <w:endnote w:type="continuationSeparator" w:id="0">
    <w:p w14:paraId="4A48C04B" w14:textId="77777777" w:rsidR="002549B0" w:rsidRDefault="002549B0" w:rsidP="001505BB">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F0AE3" w14:textId="77777777" w:rsidR="002549B0" w:rsidRDefault="002549B0" w:rsidP="001505BB">
      <w:pPr>
        <w:framePr w:wrap="around"/>
      </w:pPr>
      <w:r>
        <w:separator/>
      </w:r>
    </w:p>
  </w:footnote>
  <w:footnote w:type="continuationSeparator" w:id="0">
    <w:p w14:paraId="1B2B940F" w14:textId="77777777" w:rsidR="002549B0" w:rsidRDefault="002549B0" w:rsidP="001505BB">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BCEE7" w14:textId="7D0CD8DF" w:rsidR="00A70D2D" w:rsidRDefault="00A70D2D">
    <w:pPr>
      <w:pStyle w:val="En-tte"/>
      <w:framePr w:wrap="around"/>
    </w:pPr>
    <w:r>
      <w:rPr>
        <w:noProof/>
        <w:lang w:eastAsia="fr-FR"/>
      </w:rPr>
      <w:drawing>
        <wp:inline distT="0" distB="0" distL="0" distR="0" wp14:anchorId="70E8EA2E" wp14:editId="326CDAA0">
          <wp:extent cx="2459736" cy="103774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U-Urbact-HD.jpeg.jpeg"/>
                  <pic:cNvPicPr/>
                </pic:nvPicPr>
                <pic:blipFill>
                  <a:blip r:embed="rId1">
                    <a:extLst>
                      <a:ext uri="{28A0092B-C50C-407E-A947-70E740481C1C}">
                        <a14:useLocalDpi xmlns:a14="http://schemas.microsoft.com/office/drawing/2010/main" val="0"/>
                      </a:ext>
                    </a:extLst>
                  </a:blip>
                  <a:stretch>
                    <a:fillRect/>
                  </a:stretch>
                </pic:blipFill>
                <pic:spPr>
                  <a:xfrm>
                    <a:off x="0" y="0"/>
                    <a:ext cx="2458973" cy="10374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1503"/>
    <w:multiLevelType w:val="hybridMultilevel"/>
    <w:tmpl w:val="10E6C696"/>
    <w:lvl w:ilvl="0" w:tplc="83D022D0">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2D05AC"/>
    <w:multiLevelType w:val="hybridMultilevel"/>
    <w:tmpl w:val="B2444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C92B7D"/>
    <w:multiLevelType w:val="hybridMultilevel"/>
    <w:tmpl w:val="A0E4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EE3D89"/>
    <w:multiLevelType w:val="hybridMultilevel"/>
    <w:tmpl w:val="E514E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37"/>
    <w:rsid w:val="00007A80"/>
    <w:rsid w:val="000A068E"/>
    <w:rsid w:val="000F52E4"/>
    <w:rsid w:val="000F5719"/>
    <w:rsid w:val="001040B0"/>
    <w:rsid w:val="001254C4"/>
    <w:rsid w:val="001505BB"/>
    <w:rsid w:val="001A7DBD"/>
    <w:rsid w:val="001C69A7"/>
    <w:rsid w:val="001D1C2F"/>
    <w:rsid w:val="001F791A"/>
    <w:rsid w:val="002118C7"/>
    <w:rsid w:val="00240F94"/>
    <w:rsid w:val="002549B0"/>
    <w:rsid w:val="002F24E7"/>
    <w:rsid w:val="003E2FB8"/>
    <w:rsid w:val="00400F90"/>
    <w:rsid w:val="00460721"/>
    <w:rsid w:val="0046118F"/>
    <w:rsid w:val="00547771"/>
    <w:rsid w:val="008044F6"/>
    <w:rsid w:val="00812208"/>
    <w:rsid w:val="008865A5"/>
    <w:rsid w:val="00977579"/>
    <w:rsid w:val="00977F33"/>
    <w:rsid w:val="009F4D08"/>
    <w:rsid w:val="00A07337"/>
    <w:rsid w:val="00A41EE6"/>
    <w:rsid w:val="00A70D2D"/>
    <w:rsid w:val="00AE573F"/>
    <w:rsid w:val="00AF612B"/>
    <w:rsid w:val="00B04B36"/>
    <w:rsid w:val="00B32F02"/>
    <w:rsid w:val="00BA4F87"/>
    <w:rsid w:val="00C24F0F"/>
    <w:rsid w:val="00C26B17"/>
    <w:rsid w:val="00C27968"/>
    <w:rsid w:val="00C473BD"/>
    <w:rsid w:val="00C62167"/>
    <w:rsid w:val="00DD45E5"/>
    <w:rsid w:val="00E10098"/>
    <w:rsid w:val="00EC2C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F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37"/>
    <w:pPr>
      <w:framePr w:wrap="around" w:vAnchor="text" w:hAnchor="text" w:y="1"/>
    </w:pPr>
    <w:rPr>
      <w:rFonts w:eastAsiaTheme="minorEastAsia" w:cs="Times New Roman (Body 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4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505BB"/>
    <w:pPr>
      <w:framePr w:wrap="around"/>
      <w:tabs>
        <w:tab w:val="center" w:pos="4513"/>
        <w:tab w:val="right" w:pos="9026"/>
      </w:tabs>
    </w:pPr>
  </w:style>
  <w:style w:type="character" w:customStyle="1" w:styleId="En-tteCar">
    <w:name w:val="En-tête Car"/>
    <w:basedOn w:val="Policepardfaut"/>
    <w:link w:val="En-tte"/>
    <w:uiPriority w:val="99"/>
    <w:rsid w:val="001505BB"/>
    <w:rPr>
      <w:rFonts w:eastAsiaTheme="minorEastAsia" w:cs="Times New Roman (Body CS)"/>
      <w:color w:val="000000" w:themeColor="text1"/>
    </w:rPr>
  </w:style>
  <w:style w:type="paragraph" w:styleId="Pieddepage">
    <w:name w:val="footer"/>
    <w:basedOn w:val="Normal"/>
    <w:link w:val="PieddepageCar"/>
    <w:uiPriority w:val="99"/>
    <w:unhideWhenUsed/>
    <w:rsid w:val="001505BB"/>
    <w:pPr>
      <w:framePr w:wrap="around"/>
      <w:tabs>
        <w:tab w:val="center" w:pos="4513"/>
        <w:tab w:val="right" w:pos="9026"/>
      </w:tabs>
    </w:pPr>
  </w:style>
  <w:style w:type="character" w:customStyle="1" w:styleId="PieddepageCar">
    <w:name w:val="Pied de page Car"/>
    <w:basedOn w:val="Policepardfaut"/>
    <w:link w:val="Pieddepage"/>
    <w:uiPriority w:val="99"/>
    <w:rsid w:val="001505BB"/>
    <w:rPr>
      <w:rFonts w:eastAsiaTheme="minorEastAsia" w:cs="Times New Roman (Body CS)"/>
      <w:color w:val="000000" w:themeColor="text1"/>
    </w:rPr>
  </w:style>
  <w:style w:type="paragraph" w:styleId="Paragraphedeliste">
    <w:name w:val="List Paragraph"/>
    <w:basedOn w:val="Normal"/>
    <w:uiPriority w:val="34"/>
    <w:qFormat/>
    <w:rsid w:val="00C26B17"/>
    <w:pPr>
      <w:framePr w:wrap="around"/>
      <w:ind w:left="720"/>
      <w:contextualSpacing/>
    </w:pPr>
  </w:style>
  <w:style w:type="paragraph" w:styleId="Textedebulles">
    <w:name w:val="Balloon Text"/>
    <w:basedOn w:val="Normal"/>
    <w:link w:val="TextedebullesCar"/>
    <w:uiPriority w:val="99"/>
    <w:semiHidden/>
    <w:unhideWhenUsed/>
    <w:rsid w:val="00A70D2D"/>
    <w:pPr>
      <w:framePr w:wrap="around"/>
    </w:pPr>
    <w:rPr>
      <w:rFonts w:ascii="Tahoma" w:hAnsi="Tahoma" w:cs="Tahoma"/>
      <w:sz w:val="16"/>
      <w:szCs w:val="16"/>
    </w:rPr>
  </w:style>
  <w:style w:type="character" w:customStyle="1" w:styleId="TextedebullesCar">
    <w:name w:val="Texte de bulles Car"/>
    <w:basedOn w:val="Policepardfaut"/>
    <w:link w:val="Textedebulles"/>
    <w:uiPriority w:val="99"/>
    <w:semiHidden/>
    <w:rsid w:val="00A70D2D"/>
    <w:rPr>
      <w:rFonts w:ascii="Tahoma" w:eastAsiaTheme="minorEastAsi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37"/>
    <w:pPr>
      <w:framePr w:wrap="around" w:vAnchor="text" w:hAnchor="text" w:y="1"/>
    </w:pPr>
    <w:rPr>
      <w:rFonts w:eastAsiaTheme="minorEastAsia" w:cs="Times New Roman (Body 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4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505BB"/>
    <w:pPr>
      <w:framePr w:wrap="around"/>
      <w:tabs>
        <w:tab w:val="center" w:pos="4513"/>
        <w:tab w:val="right" w:pos="9026"/>
      </w:tabs>
    </w:pPr>
  </w:style>
  <w:style w:type="character" w:customStyle="1" w:styleId="En-tteCar">
    <w:name w:val="En-tête Car"/>
    <w:basedOn w:val="Policepardfaut"/>
    <w:link w:val="En-tte"/>
    <w:uiPriority w:val="99"/>
    <w:rsid w:val="001505BB"/>
    <w:rPr>
      <w:rFonts w:eastAsiaTheme="minorEastAsia" w:cs="Times New Roman (Body CS)"/>
      <w:color w:val="000000" w:themeColor="text1"/>
    </w:rPr>
  </w:style>
  <w:style w:type="paragraph" w:styleId="Pieddepage">
    <w:name w:val="footer"/>
    <w:basedOn w:val="Normal"/>
    <w:link w:val="PieddepageCar"/>
    <w:uiPriority w:val="99"/>
    <w:unhideWhenUsed/>
    <w:rsid w:val="001505BB"/>
    <w:pPr>
      <w:framePr w:wrap="around"/>
      <w:tabs>
        <w:tab w:val="center" w:pos="4513"/>
        <w:tab w:val="right" w:pos="9026"/>
      </w:tabs>
    </w:pPr>
  </w:style>
  <w:style w:type="character" w:customStyle="1" w:styleId="PieddepageCar">
    <w:name w:val="Pied de page Car"/>
    <w:basedOn w:val="Policepardfaut"/>
    <w:link w:val="Pieddepage"/>
    <w:uiPriority w:val="99"/>
    <w:rsid w:val="001505BB"/>
    <w:rPr>
      <w:rFonts w:eastAsiaTheme="minorEastAsia" w:cs="Times New Roman (Body CS)"/>
      <w:color w:val="000000" w:themeColor="text1"/>
    </w:rPr>
  </w:style>
  <w:style w:type="paragraph" w:styleId="Paragraphedeliste">
    <w:name w:val="List Paragraph"/>
    <w:basedOn w:val="Normal"/>
    <w:uiPriority w:val="34"/>
    <w:qFormat/>
    <w:rsid w:val="00C26B17"/>
    <w:pPr>
      <w:framePr w:wrap="around"/>
      <w:ind w:left="720"/>
      <w:contextualSpacing/>
    </w:pPr>
  </w:style>
  <w:style w:type="paragraph" w:styleId="Textedebulles">
    <w:name w:val="Balloon Text"/>
    <w:basedOn w:val="Normal"/>
    <w:link w:val="TextedebullesCar"/>
    <w:uiPriority w:val="99"/>
    <w:semiHidden/>
    <w:unhideWhenUsed/>
    <w:rsid w:val="00A70D2D"/>
    <w:pPr>
      <w:framePr w:wrap="around"/>
    </w:pPr>
    <w:rPr>
      <w:rFonts w:ascii="Tahoma" w:hAnsi="Tahoma" w:cs="Tahoma"/>
      <w:sz w:val="16"/>
      <w:szCs w:val="16"/>
    </w:rPr>
  </w:style>
  <w:style w:type="character" w:customStyle="1" w:styleId="TextedebullesCar">
    <w:name w:val="Texte de bulles Car"/>
    <w:basedOn w:val="Policepardfaut"/>
    <w:link w:val="Textedebulles"/>
    <w:uiPriority w:val="99"/>
    <w:semiHidden/>
    <w:rsid w:val="00A70D2D"/>
    <w:rPr>
      <w:rFonts w:ascii="Tahoma" w:eastAsiaTheme="minorEastAsi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107838">
      <w:bodyDiv w:val="1"/>
      <w:marLeft w:val="0"/>
      <w:marRight w:val="0"/>
      <w:marTop w:val="0"/>
      <w:marBottom w:val="0"/>
      <w:divBdr>
        <w:top w:val="none" w:sz="0" w:space="0" w:color="auto"/>
        <w:left w:val="none" w:sz="0" w:space="0" w:color="auto"/>
        <w:bottom w:val="none" w:sz="0" w:space="0" w:color="auto"/>
        <w:right w:val="none" w:sz="0" w:space="0" w:color="auto"/>
      </w:divBdr>
    </w:div>
    <w:div w:id="20548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377</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Trenkler-Fraser</dc:creator>
  <cp:keywords/>
  <dc:description/>
  <cp:lastModifiedBy>GRAVIER Clémentine</cp:lastModifiedBy>
  <cp:revision>9</cp:revision>
  <dcterms:created xsi:type="dcterms:W3CDTF">2021-12-13T17:06:00Z</dcterms:created>
  <dcterms:modified xsi:type="dcterms:W3CDTF">2022-04-20T15:08:00Z</dcterms:modified>
</cp:coreProperties>
</file>